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1"/>
        <w:tblW w:w="11011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73"/>
        <w:gridCol w:w="276"/>
        <w:gridCol w:w="433"/>
        <w:gridCol w:w="47"/>
        <w:gridCol w:w="370"/>
        <w:gridCol w:w="151"/>
        <w:gridCol w:w="766"/>
        <w:gridCol w:w="235"/>
        <w:gridCol w:w="364"/>
        <w:gridCol w:w="387"/>
        <w:gridCol w:w="369"/>
        <w:gridCol w:w="548"/>
        <w:gridCol w:w="24"/>
        <w:gridCol w:w="585"/>
        <w:gridCol w:w="549"/>
        <w:gridCol w:w="543"/>
        <w:gridCol w:w="210"/>
        <w:gridCol w:w="381"/>
        <w:gridCol w:w="390"/>
        <w:gridCol w:w="404"/>
        <w:gridCol w:w="253"/>
        <w:gridCol w:w="416"/>
        <w:gridCol w:w="450"/>
        <w:gridCol w:w="205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1" w:type="dxa"/>
            <w:gridSpan w:val="26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b/>
              </w:rPr>
              <w:t>Technical Product Data Sheet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none"/>
              </w:rPr>
              <w:t>Tech. Sheet #</w:t>
            </w:r>
          </w:p>
        </w:tc>
        <w:tc>
          <w:tcPr>
            <w:tcW w:w="573" w:type="dxa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010</w:t>
            </w:r>
          </w:p>
        </w:tc>
        <w:tc>
          <w:tcPr>
            <w:tcW w:w="756" w:type="dxa"/>
            <w:gridSpan w:val="3"/>
            <w:shd w:val="clear" w:color="auto" w:fill="F2F2F2"/>
            <w:vAlign w:val="center"/>
          </w:tcPr>
          <w:p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  <w:t>Version</w:t>
            </w:r>
          </w:p>
        </w:tc>
        <w:tc>
          <w:tcPr>
            <w:tcW w:w="52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1.0</w:t>
            </w:r>
          </w:p>
        </w:tc>
        <w:tc>
          <w:tcPr>
            <w:tcW w:w="1001" w:type="dxa"/>
            <w:gridSpan w:val="2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  <w:t>Created: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none"/>
              </w:rPr>
              <w:t>June 24</w:t>
            </w:r>
            <w:r>
              <w:rPr>
                <w:rFonts w:ascii="Arial Narrow" w:hAnsi="Arial Narrow" w:cs="Arial"/>
                <w:sz w:val="16"/>
                <w:szCs w:val="16"/>
                <w:highlight w:val="none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16"/>
                <w:szCs w:val="16"/>
                <w:highlight w:val="none"/>
              </w:rPr>
              <w:t xml:space="preserve"> 2025</w:t>
            </w:r>
          </w:p>
        </w:tc>
        <w:tc>
          <w:tcPr>
            <w:tcW w:w="609" w:type="dxa"/>
            <w:gridSpan w:val="2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  <w:t>by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highlight w:val="none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none"/>
              </w:rPr>
              <w:t>G.Leiva</w:t>
            </w:r>
          </w:p>
        </w:tc>
        <w:tc>
          <w:tcPr>
            <w:tcW w:w="981" w:type="dxa"/>
            <w:gridSpan w:val="3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  <w:highlight w:val="non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  <w:t>Last updated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none"/>
              </w:rPr>
              <w:t>June 24</w:t>
            </w:r>
            <w:r>
              <w:rPr>
                <w:rFonts w:ascii="Arial Narrow" w:hAnsi="Arial Narrow" w:cs="Arial"/>
                <w:sz w:val="16"/>
                <w:szCs w:val="16"/>
                <w:highlight w:val="none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16"/>
                <w:szCs w:val="16"/>
                <w:highlight w:val="none"/>
              </w:rPr>
              <w:t>, 2025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non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highlight w:val="none"/>
              </w:rPr>
              <w:t>by</w:t>
            </w:r>
          </w:p>
        </w:tc>
        <w:tc>
          <w:tcPr>
            <w:tcW w:w="9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 Narrow" w:hAnsi="Arial Narrow" w:cs="Arial"/>
                <w:sz w:val="16"/>
                <w:szCs w:val="16"/>
                <w:highlight w:val="none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none"/>
              </w:rPr>
              <w:t>S.Muñoz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none"/>
              </w:rPr>
              <w:t>Product Name</w:t>
            </w:r>
          </w:p>
        </w:tc>
        <w:tc>
          <w:tcPr>
            <w:tcW w:w="1850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 xml:space="preserve">Recombinant Superoxide Dismutase </w:t>
            </w:r>
          </w:p>
        </w:tc>
        <w:tc>
          <w:tcPr>
            <w:tcW w:w="1001" w:type="dxa"/>
            <w:gridSpan w:val="2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none"/>
              </w:rPr>
              <w:t>Product Code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enz_sod_010</w:t>
            </w:r>
          </w:p>
        </w:tc>
        <w:tc>
          <w:tcPr>
            <w:tcW w:w="1701" w:type="dxa"/>
            <w:gridSpan w:val="4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none"/>
              </w:rPr>
              <w:t>Current Dev. Phase</w:t>
            </w:r>
          </w:p>
        </w:tc>
        <w:tc>
          <w:tcPr>
            <w:tcW w:w="3426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Finished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011" w:type="dxa"/>
            <w:gridSpan w:val="26"/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Core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5" w:type="dxa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Product Type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Lyophilized enzyme</w:t>
            </w:r>
          </w:p>
        </w:tc>
        <w:tc>
          <w:tcPr>
            <w:tcW w:w="1569" w:type="dxa"/>
            <w:gridSpan w:val="5"/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Producing microorganism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Escherichia coli</w:t>
            </w:r>
            <w:r>
              <w:rPr>
                <w:rFonts w:ascii="Arial" w:hAnsi="Arial" w:cs="Arial"/>
                <w:sz w:val="16"/>
                <w:szCs w:val="16"/>
              </w:rPr>
              <w:t xml:space="preserve"> (recombinant)</w:t>
            </w:r>
          </w:p>
        </w:tc>
        <w:tc>
          <w:tcPr>
            <w:tcW w:w="1134" w:type="dxa"/>
            <w:gridSpan w:val="2"/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Microorg. code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C41 (DE3)</w:t>
            </w:r>
          </w:p>
        </w:tc>
        <w:tc>
          <w:tcPr>
            <w:tcW w:w="794" w:type="dxa"/>
            <w:gridSpan w:val="2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Origin</w:t>
            </w:r>
          </w:p>
        </w:tc>
        <w:tc>
          <w:tcPr>
            <w:tcW w:w="2041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Thermophilic Bacteria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5" w:type="dxa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 Number</w:t>
            </w:r>
          </w:p>
        </w:tc>
        <w:tc>
          <w:tcPr>
            <w:tcW w:w="3215" w:type="dxa"/>
            <w:gridSpan w:val="9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1.15.1.1</w:t>
            </w:r>
          </w:p>
        </w:tc>
        <w:tc>
          <w:tcPr>
            <w:tcW w:w="3215" w:type="dxa"/>
            <w:gridSpan w:val="8"/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CAS-No.</w:t>
            </w:r>
          </w:p>
        </w:tc>
        <w:tc>
          <w:tcPr>
            <w:tcW w:w="3216" w:type="dxa"/>
            <w:gridSpan w:val="8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9054-89-1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5" w:type="dxa"/>
            <w:shd w:val="clear" w:color="auto" w:fill="E6E6E6"/>
          </w:tcPr>
          <w:p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Product Description</w:t>
            </w:r>
          </w:p>
          <w:p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46" w:type="dxa"/>
            <w:gridSpan w:val="25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SOD is a manganese-containing enzyme that efficiently catalyzes the dismutation of superoxide radicals into hydrogen peroxide (H₂O₂) and oxygen.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Range ºC</w:t>
            </w:r>
          </w:p>
        </w:tc>
        <w:tc>
          <w:tcPr>
            <w:tcW w:w="8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20-80</w:t>
            </w: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Opt. temp ºC</w:t>
            </w: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40-60    </w:t>
            </w:r>
          </w:p>
        </w:tc>
        <w:tc>
          <w:tcPr>
            <w:tcW w:w="986" w:type="dxa"/>
            <w:gridSpan w:val="3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Thermo stability</w:t>
            </w:r>
          </w:p>
        </w:tc>
        <w:tc>
          <w:tcPr>
            <w:tcW w:w="261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MS Mincho"/>
                <w:sz w:val="16"/>
                <w:szCs w:val="16"/>
              </w:rPr>
              <w:t>Keeps 50% of its activity after 64 hours of exposure at 50°C</w:t>
            </w:r>
          </w:p>
        </w:tc>
        <w:tc>
          <w:tcPr>
            <w:tcW w:w="981" w:type="dxa"/>
            <w:gridSpan w:val="3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 range</w:t>
            </w:r>
          </w:p>
        </w:tc>
        <w:tc>
          <w:tcPr>
            <w:tcW w:w="6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6.0-10.0</w:t>
            </w:r>
          </w:p>
        </w:tc>
        <w:tc>
          <w:tcPr>
            <w:tcW w:w="1071" w:type="dxa"/>
            <w:gridSpan w:val="3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Opt. pH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7.0-8.0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Substrate 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-  </w:t>
            </w:r>
            <w:r>
              <w:rPr>
                <w:rFonts w:ascii="Arial" w:hAnsi="Arial" w:cs="Arial"/>
                <w:sz w:val="16"/>
                <w:szCs w:val="16"/>
              </w:rPr>
              <w:t>(Superoxide Radical)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Products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O and O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Reaction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bottom"/>
          </w:tcPr>
          <w:p>
            <w:pPr>
              <w:spacing w:after="100" w:afterAutospacing="1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64770</wp:posOffset>
                      </wp:positionV>
                      <wp:extent cx="247650" cy="0"/>
                      <wp:effectExtent l="0" t="76200" r="19050" b="114300"/>
                      <wp:wrapNone/>
                      <wp:docPr id="5" name="AutoShap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82" o:spid="_x0000_s1026" o:spt="32" type="#_x0000_t32" style="position:absolute;left:0pt;margin-left:52.65pt;margin-top:5.1pt;height:0pt;width:19.5pt;z-index:251657216;mso-width-relative:page;mso-height-relative:page;" filled="f" stroked="t" coordsize="21600,21600" o:gfxdata="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0fqFn1QAA&#10;AAkBAAAPAAAAAAAAAAEAIAAAADgAAABkcnMvZG93bnJldi54bWxQSwECFAAUAAAACACHTuJAEq2w&#10;7tIBAACPAwAADgAAAAAAAAABACAAAAA6AQAAZHJzL2Uyb0RvYy54bWxQSwUGAAAAAAYABgBZAQAA&#10;fgUAAAAA&#10;">
                      <v:fill on="f" focussize="0,0"/>
                      <v:stroke weight="0.25pt"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2 O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-  </w:t>
            </w:r>
            <w:r>
              <w:rPr>
                <w:rFonts w:ascii="Arial" w:hAnsi="Arial" w:cs="Arial"/>
                <w:sz w:val="16"/>
                <w:szCs w:val="16"/>
              </w:rPr>
              <w:t>+ 2H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H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+ O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 (Unit definition)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</w:tcPr>
          <w:p>
            <w:pPr>
              <w:spacing w:after="0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>
            <w:pPr>
              <w:spacing w:after="0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One unit is defined as the amount of enzyme which causes 50% of maximum inhibition of NBT reduction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Specific activity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300 U/mg protein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Molecular mass</w:t>
            </w:r>
          </w:p>
        </w:tc>
        <w:tc>
          <w:tcPr>
            <w:tcW w:w="26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≈ 47 kDa</w:t>
            </w:r>
          </w:p>
        </w:tc>
        <w:tc>
          <w:tcPr>
            <w:tcW w:w="1355" w:type="dxa"/>
            <w:gridSpan w:val="4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E6E6E6"/>
              </w:rPr>
              <w:t>Number of       subun</w:t>
            </w:r>
            <w:r>
              <w:rPr>
                <w:rFonts w:ascii="Arial" w:hAnsi="Arial" w:cs="Arial"/>
                <w:b/>
                <w:sz w:val="16"/>
                <w:szCs w:val="16"/>
              </w:rPr>
              <w:t>its</w:t>
            </w:r>
          </w:p>
        </w:tc>
        <w:tc>
          <w:tcPr>
            <w:tcW w:w="5675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Two. Each subunit has ≈ 24 kDa.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Substrate chirality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data available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Product chirality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data available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Alternative substrates 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determined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Lyophilized 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 components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0.05 M Tris buffer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(before lyophilizing)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Storage temperature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-20°C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Stability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At -20ºC, it maintains the reported activity (≥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00 U/mg) at least for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year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65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Shipping conditions</w:t>
            </w:r>
          </w:p>
        </w:tc>
        <w:tc>
          <w:tcPr>
            <w:tcW w:w="9646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Inside a Styrofoam box with icepacks</w:t>
            </w:r>
          </w:p>
        </w:tc>
      </w:tr>
    </w:tbl>
    <w:p>
      <w:pPr>
        <w:rPr>
          <w:lang w:val="en-US"/>
        </w:rPr>
      </w:pPr>
    </w:p>
    <w:tbl>
      <w:tblPr>
        <w:tblStyle w:val="41"/>
        <w:tblW w:w="10511" w:type="dxa"/>
        <w:tblInd w:w="-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14"/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9" w:hRule="atLeast"/>
        </w:trPr>
        <w:tc>
          <w:tcPr>
            <w:tcW w:w="1514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16"/>
                <w:szCs w:val="16"/>
              </w:rPr>
              <w:t>pH dependence</w:t>
            </w:r>
          </w:p>
        </w:tc>
        <w:tc>
          <w:tcPr>
            <w:tcW w:w="8997" w:type="dxa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drawing>
                <wp:inline distT="0" distB="0" distL="114300" distR="114300">
                  <wp:extent cx="4645025" cy="2823845"/>
                  <wp:effectExtent l="0" t="0" r="15875" b="8255"/>
                  <wp:docPr id="3" name="2 Gráfico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Fig 1.</w:t>
            </w:r>
            <w:r>
              <w:rPr>
                <w:rFonts w:ascii="Arial" w:hAnsi="Arial" w:cs="Arial"/>
                <w:sz w:val="16"/>
                <w:szCs w:val="16"/>
              </w:rPr>
              <w:t xml:space="preserve"> pH dependence of the rec SOD (enz_sod_010). Activity was measured by monitoring pH from 5.0 to 10.0 at 50ºC.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9" w:hRule="atLeast"/>
        </w:trPr>
        <w:tc>
          <w:tcPr>
            <w:tcW w:w="1514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Temperature dependence</w:t>
            </w:r>
          </w:p>
        </w:tc>
        <w:tc>
          <w:tcPr>
            <w:tcW w:w="8997" w:type="dxa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spacing w:before="100" w:beforeAutospacing="1" w:after="100" w:afterAutospacing="1"/>
              <w:rPr>
                <w:rFonts w:ascii="Arial" w:hAnsi="Arial" w:cs="Arial"/>
                <w:bCs/>
                <w:sz w:val="16"/>
                <w:szCs w:val="16"/>
              </w:rPr>
            </w:pPr>
            <w:r>
              <w:drawing>
                <wp:inline distT="0" distB="0" distL="114300" distR="114300">
                  <wp:extent cx="5622925" cy="3001645"/>
                  <wp:effectExtent l="4445" t="5080" r="11430" b="22225"/>
                  <wp:docPr id="4" name="1 Gráfico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Fig 2.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Temperature dependence of the rec SOD (enz_sod_010). </w:t>
            </w:r>
            <w:r>
              <w:rPr>
                <w:rFonts w:ascii="Arial" w:hAnsi="Arial" w:cs="Arial"/>
                <w:sz w:val="16"/>
                <w:szCs w:val="16"/>
              </w:rPr>
              <w:t xml:space="preserve">Activity was measured by monitoring                                             temperature from 20 to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80ºC using 50 mM Tris HCl buffer (pH 7.0).</w:t>
            </w:r>
          </w:p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627" w:hRule="atLeast"/>
        </w:trPr>
        <w:tc>
          <w:tcPr>
            <w:tcW w:w="1514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Thermo-stability</w:t>
            </w:r>
          </w:p>
        </w:tc>
        <w:tc>
          <w:tcPr>
            <w:tcW w:w="8997" w:type="dxa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Arial" w:hAnsi="Arial" w:cs="Arial"/>
                <w:b/>
                <w:sz w:val="16"/>
                <w:szCs w:val="16"/>
              </w:rPr>
            </w:pPr>
            <w:r>
              <w:drawing>
                <wp:inline distT="0" distB="0" distL="114300" distR="114300">
                  <wp:extent cx="5622925" cy="3001645"/>
                  <wp:effectExtent l="4445" t="5080" r="11430" b="22225"/>
                  <wp:docPr id="6" name="1 Gráfico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Fig 3. </w:t>
            </w:r>
            <w:r>
              <w:rPr>
                <w:rFonts w:ascii="Arial" w:hAnsi="Arial" w:cs="Arial"/>
                <w:sz w:val="16"/>
                <w:szCs w:val="16"/>
              </w:rPr>
              <w:t>Thermostability of the rec SOD (enz_sod_010). Activity was monitored at 50º C using                                                            50 mM Tris HCl buffer (pH 7.0).</w:t>
            </w:r>
          </w:p>
          <w:p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/>
    <w:tbl>
      <w:tblPr>
        <w:tblStyle w:val="41"/>
        <w:tblW w:w="102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1" w:type="dxa"/>
            <w:shd w:val="clear" w:color="auto" w:fill="D9D9D9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>
              <w:rPr>
                <w:rFonts w:ascii="Arial" w:hAnsi="Arial" w:cs="Arial"/>
                <w:b/>
                <w:szCs w:val="22"/>
              </w:rPr>
              <w:t>Scientific and Technical References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1" w:type="dxa"/>
          </w:tcPr>
          <w:p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Abreu, I. A., &amp; Cabelli, D. E. (2010). Superoxide dismutases—a review of the metal associated mechanistic variations. Biochimica et Biophysica Acta (BBA)-Proteins</w:t>
            </w: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Islam, M. N., Rauf, A., Fahad, F. I., Emran, T. B., Mitra, S., Olatunde, A., ... &amp; Mubarak, M. S. (2021). Superoxide dismutase: an updated review on its health benefits and industrial applications. Critical Reviews in Food Science and Nutrition,</w:t>
            </w: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Janknegt, P. J., Rijstenbil, J. W., Van de Poll, W. H., Gechev, T. S., &amp; Buma, A. G. (2007). A comparison of quantitative and qualitative superoxide dismutase assays for application to low temperature microalgae. Journal of Photochemistry and Photobiology B: Biology, 87(3), 218-226.</w:t>
            </w:r>
          </w:p>
        </w:tc>
      </w:tr>
    </w:tbl>
    <w:p/>
    <w:tbl>
      <w:tblPr>
        <w:tblStyle w:val="41"/>
        <w:tblW w:w="105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8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2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Use, Security, Handling and Disclaimer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3" w:hRule="atLeast"/>
        </w:trPr>
        <w:tc>
          <w:tcPr>
            <w:tcW w:w="1839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Use</w:t>
            </w:r>
          </w:p>
        </w:tc>
        <w:tc>
          <w:tcPr>
            <w:tcW w:w="867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product specified in this document has not been assessed for Human or Animal Consumption and is therefore </w:t>
            </w:r>
            <w:r>
              <w:rPr>
                <w:rFonts w:ascii="Arial" w:hAnsi="Arial" w:cs="Arial"/>
                <w:b/>
                <w:sz w:val="16"/>
                <w:szCs w:val="16"/>
              </w:rPr>
              <w:t>Not for Human or Animal Consumption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39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Security</w:t>
            </w:r>
          </w:p>
        </w:tc>
        <w:tc>
          <w:tcPr>
            <w:tcW w:w="867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product specified in this document must be manipulated and used in a safe manner, in compliance with all applicable laws and regulations.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7" w:hRule="atLeast"/>
        </w:trPr>
        <w:tc>
          <w:tcPr>
            <w:tcW w:w="183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Handling</w:t>
            </w:r>
          </w:p>
        </w:tc>
        <w:tc>
          <w:tcPr>
            <w:tcW w:w="8670" w:type="dxa"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product specified in this document must be manipulated by trained personnel, acquainted with laboratory security practices and regulations.</w:t>
            </w:r>
          </w:p>
        </w:tc>
      </w:tr>
    </w:tbl>
    <w:p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2242" w:h="15842"/>
      <w:pgMar w:top="1701" w:right="1134" w:bottom="1701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S Mincho">
    <w:altName w:val="Droid Sans Fallback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spacing w:after="0"/>
      <w:jc w:val="center"/>
      <w:rPr>
        <w:rFonts w:ascii="Arial" w:hAnsi="Arial" w:cs="Arial"/>
      </w:rPr>
    </w:pPr>
    <w:r>
      <w:rPr>
        <w:rFonts w:ascii="Arial" w:hAnsi="Arial" w:cs="Arial"/>
        <w:sz w:val="16"/>
      </w:rPr>
      <w:t>Swissaustral USA LLC,</w:t>
    </w:r>
  </w:p>
  <w:p>
    <w:pPr>
      <w:pStyle w:val="19"/>
      <w:spacing w:after="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111 Riverbend Rd #271, Athens, Georgia 30602, USA. Phone 706-224-2752</w:t>
    </w:r>
  </w:p>
  <w:p>
    <w:pPr>
      <w:pStyle w:val="19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e-mail: business@swissaustral.com</w:t>
    </w:r>
  </w:p>
  <w:p>
    <w:pPr>
      <w:pStyle w:val="19"/>
      <w:spacing w:after="0"/>
      <w:jc w:val="center"/>
      <w:rPr>
        <w:rFonts w:cs="Arial" w:asciiTheme="minorHAnsi" w:hAnsiTheme="minorHAnsi"/>
        <w:sz w:val="16"/>
        <w:szCs w:val="16"/>
      </w:rPr>
    </w:pPr>
  </w:p>
  <w:p>
    <w:pPr>
      <w:pStyle w:val="19"/>
      <w:jc w:val="center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 xml:space="preserve">Page </w:t>
    </w:r>
    <w:r>
      <w:rPr>
        <w:rFonts w:asciiTheme="minorHAnsi" w:hAnsiTheme="minorHAnsi"/>
        <w:sz w:val="16"/>
        <w:szCs w:val="16"/>
        <w:lang w:val="en-US"/>
      </w:rPr>
      <w:fldChar w:fldCharType="begin"/>
    </w:r>
    <w:r>
      <w:rPr>
        <w:rFonts w:asciiTheme="minorHAnsi" w:hAnsiTheme="minorHAnsi"/>
        <w:sz w:val="16"/>
        <w:szCs w:val="16"/>
        <w:lang w:val="en-US"/>
      </w:rPr>
      <w:instrText xml:space="preserve"> PAGE </w:instrText>
    </w:r>
    <w:r>
      <w:rPr>
        <w:rFonts w:asciiTheme="minorHAnsi" w:hAnsiTheme="minorHAnsi"/>
        <w:sz w:val="16"/>
        <w:szCs w:val="16"/>
        <w:lang w:val="en-US"/>
      </w:rPr>
      <w:fldChar w:fldCharType="separate"/>
    </w:r>
    <w:r>
      <w:rPr>
        <w:rFonts w:asciiTheme="minorHAnsi" w:hAnsiTheme="minorHAnsi"/>
        <w:sz w:val="16"/>
        <w:szCs w:val="16"/>
        <w:lang w:val="en-US"/>
      </w:rPr>
      <w:t>1</w:t>
    </w:r>
    <w:r>
      <w:rPr>
        <w:rFonts w:asciiTheme="minorHAnsi" w:hAnsiTheme="minorHAnsi"/>
        <w:sz w:val="16"/>
        <w:szCs w:val="16"/>
        <w:lang w:val="en-US"/>
      </w:rPr>
      <w:fldChar w:fldCharType="end"/>
    </w:r>
    <w:r>
      <w:rPr>
        <w:rFonts w:asciiTheme="minorHAnsi" w:hAnsiTheme="minorHAnsi"/>
        <w:sz w:val="16"/>
        <w:szCs w:val="16"/>
        <w:lang w:val="en-US"/>
      </w:rPr>
      <w:t xml:space="preserve"> of </w:t>
    </w:r>
    <w:r>
      <w:rPr>
        <w:rFonts w:asciiTheme="minorHAnsi" w:hAnsiTheme="minorHAnsi"/>
        <w:sz w:val="16"/>
        <w:szCs w:val="16"/>
        <w:lang w:val="en-US"/>
      </w:rPr>
      <w:fldChar w:fldCharType="begin"/>
    </w:r>
    <w:r>
      <w:rPr>
        <w:rFonts w:asciiTheme="minorHAnsi" w:hAnsiTheme="minorHAnsi"/>
        <w:sz w:val="16"/>
        <w:szCs w:val="16"/>
        <w:lang w:val="en-US"/>
      </w:rPr>
      <w:instrText xml:space="preserve"> NUMPAGES </w:instrText>
    </w:r>
    <w:r>
      <w:rPr>
        <w:rFonts w:asciiTheme="minorHAnsi" w:hAnsiTheme="minorHAnsi"/>
        <w:sz w:val="16"/>
        <w:szCs w:val="16"/>
        <w:lang w:val="en-US"/>
      </w:rPr>
      <w:fldChar w:fldCharType="separate"/>
    </w:r>
    <w:r>
      <w:rPr>
        <w:rFonts w:asciiTheme="minorHAnsi" w:hAnsiTheme="minorHAnsi"/>
        <w:sz w:val="16"/>
        <w:szCs w:val="16"/>
        <w:lang w:val="en-US"/>
      </w:rPr>
      <w:t>3</w:t>
    </w:r>
    <w:r>
      <w:rPr>
        <w:rFonts w:asciiTheme="minorHAnsi" w:hAnsiTheme="minorHAnsi"/>
        <w:sz w:val="16"/>
        <w:szCs w:val="16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rPr>
        <w:lang w:val="es-MX" w:eastAsia="es-MX"/>
      </w:rPr>
      <w:drawing>
        <wp:inline distT="0" distB="0" distL="0" distR="0">
          <wp:extent cx="1670050" cy="482600"/>
          <wp:effectExtent l="0" t="0" r="6350" b="0"/>
          <wp:docPr id="2" name="Picture 4" descr="Descripción: swissaustral-color_4x1cm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Descripción: swissaustral-color_4x1cm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00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6FA"/>
    <w:multiLevelType w:val="multilevel"/>
    <w:tmpl w:val="06F476FA"/>
    <w:lvl w:ilvl="0" w:tentative="0">
      <w:start w:val="1"/>
      <w:numFmt w:val="decimal"/>
      <w:pStyle w:val="47"/>
      <w:suff w:val="space"/>
      <w:lvlText w:val="%1"/>
      <w:lvlJc w:val="left"/>
      <w:pPr>
        <w:ind w:left="567" w:hanging="567"/>
      </w:pPr>
      <w:rPr>
        <w:rFonts w:hint="default" w:ascii="Verdana" w:hAnsi="Verdana"/>
        <w:sz w:val="28"/>
      </w:rPr>
    </w:lvl>
    <w:lvl w:ilvl="1" w:tentative="0">
      <w:start w:val="1"/>
      <w:numFmt w:val="decimal"/>
      <w:pStyle w:val="43"/>
      <w:suff w:val="space"/>
      <w:lvlText w:val="%1.%2"/>
      <w:lvlJc w:val="left"/>
      <w:pPr>
        <w:ind w:left="1134" w:hanging="1134"/>
      </w:pPr>
      <w:rPr>
        <w:rFonts w:hint="default" w:ascii="Verdana" w:hAnsi="Verdana"/>
        <w:sz w:val="24"/>
      </w:rPr>
    </w:lvl>
    <w:lvl w:ilvl="2" w:tentative="0">
      <w:start w:val="1"/>
      <w:numFmt w:val="decimal"/>
      <w:pStyle w:val="44"/>
      <w:suff w:val="space"/>
      <w:lvlText w:val="%1.%2.%3"/>
      <w:lvlJc w:val="left"/>
      <w:pPr>
        <w:ind w:left="1758" w:hanging="1758"/>
      </w:pPr>
      <w:rPr>
        <w:rFonts w:hint="default" w:ascii="Verdana" w:hAnsi="Tahoma"/>
        <w:sz w:val="22"/>
      </w:rPr>
    </w:lvl>
    <w:lvl w:ilvl="3" w:tentative="0">
      <w:start w:val="1"/>
      <w:numFmt w:val="decimal"/>
      <w:pStyle w:val="45"/>
      <w:suff w:val="space"/>
      <w:lvlText w:val="%1.%2.%3.%4"/>
      <w:lvlJc w:val="left"/>
      <w:pPr>
        <w:ind w:left="2211" w:hanging="2211"/>
      </w:pPr>
      <w:rPr>
        <w:rFonts w:hint="default" w:ascii="Verdana" w:hAnsi="Verdana"/>
        <w:sz w:val="22"/>
      </w:rPr>
    </w:lvl>
    <w:lvl w:ilvl="4" w:tentative="0">
      <w:start w:val="1"/>
      <w:numFmt w:val="decimal"/>
      <w:pStyle w:val="46"/>
      <w:suff w:val="space"/>
      <w:lvlText w:val="%1.%2.%3.%4.%5"/>
      <w:lvlJc w:val="left"/>
      <w:pPr>
        <w:ind w:left="1008" w:hanging="1008"/>
      </w:pPr>
      <w:rPr>
        <w:rFonts w:hint="default" w:ascii="Verdana" w:hAnsi="Verdana"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97559CE"/>
    <w:multiLevelType w:val="multilevel"/>
    <w:tmpl w:val="197559C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51"/>
    <w:rsid w:val="00001BF6"/>
    <w:rsid w:val="00005A88"/>
    <w:rsid w:val="000147A6"/>
    <w:rsid w:val="000209AC"/>
    <w:rsid w:val="00022109"/>
    <w:rsid w:val="00022F75"/>
    <w:rsid w:val="00024DE9"/>
    <w:rsid w:val="00024E5F"/>
    <w:rsid w:val="00031129"/>
    <w:rsid w:val="00043A19"/>
    <w:rsid w:val="000472E7"/>
    <w:rsid w:val="0005334F"/>
    <w:rsid w:val="000533B0"/>
    <w:rsid w:val="000570A7"/>
    <w:rsid w:val="0006245D"/>
    <w:rsid w:val="00066120"/>
    <w:rsid w:val="00067265"/>
    <w:rsid w:val="00070E2A"/>
    <w:rsid w:val="000732AE"/>
    <w:rsid w:val="00077E73"/>
    <w:rsid w:val="00080A1D"/>
    <w:rsid w:val="00083BCA"/>
    <w:rsid w:val="00086C50"/>
    <w:rsid w:val="00087605"/>
    <w:rsid w:val="000975A3"/>
    <w:rsid w:val="000A475A"/>
    <w:rsid w:val="000A5C92"/>
    <w:rsid w:val="000A608E"/>
    <w:rsid w:val="000A6603"/>
    <w:rsid w:val="000B070E"/>
    <w:rsid w:val="000B1E0E"/>
    <w:rsid w:val="000B4B9A"/>
    <w:rsid w:val="000B5B52"/>
    <w:rsid w:val="000C5208"/>
    <w:rsid w:val="000D4E9E"/>
    <w:rsid w:val="001078C5"/>
    <w:rsid w:val="0011047B"/>
    <w:rsid w:val="001104FE"/>
    <w:rsid w:val="0011067D"/>
    <w:rsid w:val="001130F7"/>
    <w:rsid w:val="001136D4"/>
    <w:rsid w:val="001221F4"/>
    <w:rsid w:val="00126CB9"/>
    <w:rsid w:val="00137A6E"/>
    <w:rsid w:val="00144FF3"/>
    <w:rsid w:val="001569C6"/>
    <w:rsid w:val="001631C3"/>
    <w:rsid w:val="0017298E"/>
    <w:rsid w:val="001806FE"/>
    <w:rsid w:val="00191611"/>
    <w:rsid w:val="001A0DCB"/>
    <w:rsid w:val="001A107F"/>
    <w:rsid w:val="001A37A5"/>
    <w:rsid w:val="001B06AF"/>
    <w:rsid w:val="001B4815"/>
    <w:rsid w:val="001C158F"/>
    <w:rsid w:val="001C4930"/>
    <w:rsid w:val="001D3AA5"/>
    <w:rsid w:val="001E50D7"/>
    <w:rsid w:val="001F6A36"/>
    <w:rsid w:val="00215A76"/>
    <w:rsid w:val="00226329"/>
    <w:rsid w:val="00231489"/>
    <w:rsid w:val="00233CF8"/>
    <w:rsid w:val="00240106"/>
    <w:rsid w:val="002409CB"/>
    <w:rsid w:val="00241827"/>
    <w:rsid w:val="002428ED"/>
    <w:rsid w:val="00251F26"/>
    <w:rsid w:val="00253A93"/>
    <w:rsid w:val="0025446A"/>
    <w:rsid w:val="002563B6"/>
    <w:rsid w:val="0026013A"/>
    <w:rsid w:val="00261A5D"/>
    <w:rsid w:val="00265D70"/>
    <w:rsid w:val="0027489D"/>
    <w:rsid w:val="0027577D"/>
    <w:rsid w:val="00280A7D"/>
    <w:rsid w:val="00285FBC"/>
    <w:rsid w:val="0028690E"/>
    <w:rsid w:val="00293BF4"/>
    <w:rsid w:val="002A5C3E"/>
    <w:rsid w:val="002B0798"/>
    <w:rsid w:val="002B41F8"/>
    <w:rsid w:val="002C4BF6"/>
    <w:rsid w:val="002D50B2"/>
    <w:rsid w:val="002E08B7"/>
    <w:rsid w:val="002E485F"/>
    <w:rsid w:val="002E6848"/>
    <w:rsid w:val="003005F7"/>
    <w:rsid w:val="003022B1"/>
    <w:rsid w:val="00303B2A"/>
    <w:rsid w:val="003112EA"/>
    <w:rsid w:val="00320FE7"/>
    <w:rsid w:val="00324A65"/>
    <w:rsid w:val="00324CBC"/>
    <w:rsid w:val="00327272"/>
    <w:rsid w:val="00327D2F"/>
    <w:rsid w:val="00335518"/>
    <w:rsid w:val="003414C0"/>
    <w:rsid w:val="0034195D"/>
    <w:rsid w:val="00351FA6"/>
    <w:rsid w:val="003525D0"/>
    <w:rsid w:val="003603C6"/>
    <w:rsid w:val="00364182"/>
    <w:rsid w:val="0036633C"/>
    <w:rsid w:val="00366832"/>
    <w:rsid w:val="0036717D"/>
    <w:rsid w:val="0037314D"/>
    <w:rsid w:val="003819C6"/>
    <w:rsid w:val="0038247E"/>
    <w:rsid w:val="00390784"/>
    <w:rsid w:val="00390E9A"/>
    <w:rsid w:val="003A6BBA"/>
    <w:rsid w:val="003B5807"/>
    <w:rsid w:val="003B6569"/>
    <w:rsid w:val="003C3954"/>
    <w:rsid w:val="003D3D71"/>
    <w:rsid w:val="003D6F32"/>
    <w:rsid w:val="003E0E2E"/>
    <w:rsid w:val="003E490B"/>
    <w:rsid w:val="003E4BAF"/>
    <w:rsid w:val="003E6B25"/>
    <w:rsid w:val="003F2C1A"/>
    <w:rsid w:val="003F2F9B"/>
    <w:rsid w:val="003F331C"/>
    <w:rsid w:val="003F636F"/>
    <w:rsid w:val="0040156E"/>
    <w:rsid w:val="00401730"/>
    <w:rsid w:val="00407522"/>
    <w:rsid w:val="00410564"/>
    <w:rsid w:val="00411A05"/>
    <w:rsid w:val="0041294B"/>
    <w:rsid w:val="0041667F"/>
    <w:rsid w:val="004208C8"/>
    <w:rsid w:val="00421395"/>
    <w:rsid w:val="00421A32"/>
    <w:rsid w:val="00427ED8"/>
    <w:rsid w:val="0043167D"/>
    <w:rsid w:val="0043217D"/>
    <w:rsid w:val="00437BFE"/>
    <w:rsid w:val="004507E5"/>
    <w:rsid w:val="0045127D"/>
    <w:rsid w:val="004762AC"/>
    <w:rsid w:val="00492527"/>
    <w:rsid w:val="00492DFB"/>
    <w:rsid w:val="00493D4C"/>
    <w:rsid w:val="004A00BD"/>
    <w:rsid w:val="004A2818"/>
    <w:rsid w:val="004A58CF"/>
    <w:rsid w:val="004B3796"/>
    <w:rsid w:val="004C1CAA"/>
    <w:rsid w:val="004C1D7F"/>
    <w:rsid w:val="004C4EB8"/>
    <w:rsid w:val="004E1CE9"/>
    <w:rsid w:val="004E2983"/>
    <w:rsid w:val="004E54A5"/>
    <w:rsid w:val="004E568A"/>
    <w:rsid w:val="004E68E3"/>
    <w:rsid w:val="004E78A0"/>
    <w:rsid w:val="004E7B40"/>
    <w:rsid w:val="004F06C5"/>
    <w:rsid w:val="004F5980"/>
    <w:rsid w:val="00500132"/>
    <w:rsid w:val="005067B3"/>
    <w:rsid w:val="0051455B"/>
    <w:rsid w:val="00516DCE"/>
    <w:rsid w:val="0052014A"/>
    <w:rsid w:val="00530E9E"/>
    <w:rsid w:val="00532686"/>
    <w:rsid w:val="005356CE"/>
    <w:rsid w:val="005510B8"/>
    <w:rsid w:val="0055341D"/>
    <w:rsid w:val="00560D46"/>
    <w:rsid w:val="00560E26"/>
    <w:rsid w:val="005723EC"/>
    <w:rsid w:val="00580EAE"/>
    <w:rsid w:val="00584D6D"/>
    <w:rsid w:val="00593773"/>
    <w:rsid w:val="00596319"/>
    <w:rsid w:val="00596FD1"/>
    <w:rsid w:val="005A0887"/>
    <w:rsid w:val="005A1048"/>
    <w:rsid w:val="005A3BB6"/>
    <w:rsid w:val="005B1B99"/>
    <w:rsid w:val="005B56E3"/>
    <w:rsid w:val="005C2060"/>
    <w:rsid w:val="005D473C"/>
    <w:rsid w:val="005D6958"/>
    <w:rsid w:val="005D6A5E"/>
    <w:rsid w:val="005E11A0"/>
    <w:rsid w:val="005E3FD7"/>
    <w:rsid w:val="005E6AD8"/>
    <w:rsid w:val="005F03AF"/>
    <w:rsid w:val="005F7D1E"/>
    <w:rsid w:val="00604A41"/>
    <w:rsid w:val="00605D67"/>
    <w:rsid w:val="00607A4D"/>
    <w:rsid w:val="00607BD0"/>
    <w:rsid w:val="00617962"/>
    <w:rsid w:val="006246DC"/>
    <w:rsid w:val="006359DA"/>
    <w:rsid w:val="00636E5B"/>
    <w:rsid w:val="00650028"/>
    <w:rsid w:val="00650DF7"/>
    <w:rsid w:val="006516DB"/>
    <w:rsid w:val="00654D88"/>
    <w:rsid w:val="00657AA9"/>
    <w:rsid w:val="0066002F"/>
    <w:rsid w:val="0066189D"/>
    <w:rsid w:val="00664256"/>
    <w:rsid w:val="00665C88"/>
    <w:rsid w:val="00666D10"/>
    <w:rsid w:val="0067486D"/>
    <w:rsid w:val="006770A9"/>
    <w:rsid w:val="006841B8"/>
    <w:rsid w:val="00684CC1"/>
    <w:rsid w:val="00692EA5"/>
    <w:rsid w:val="006949E5"/>
    <w:rsid w:val="006962FA"/>
    <w:rsid w:val="0069679D"/>
    <w:rsid w:val="00696AAF"/>
    <w:rsid w:val="006A2EA3"/>
    <w:rsid w:val="006A3B15"/>
    <w:rsid w:val="006B160D"/>
    <w:rsid w:val="006B3DEF"/>
    <w:rsid w:val="006B42D5"/>
    <w:rsid w:val="006B6CA4"/>
    <w:rsid w:val="006C219E"/>
    <w:rsid w:val="006D10D9"/>
    <w:rsid w:val="006D484E"/>
    <w:rsid w:val="006E04BD"/>
    <w:rsid w:val="006F7A3A"/>
    <w:rsid w:val="00705C61"/>
    <w:rsid w:val="007261F3"/>
    <w:rsid w:val="00730B17"/>
    <w:rsid w:val="00730D86"/>
    <w:rsid w:val="007314F0"/>
    <w:rsid w:val="0074222F"/>
    <w:rsid w:val="0074552F"/>
    <w:rsid w:val="007612CA"/>
    <w:rsid w:val="0076719D"/>
    <w:rsid w:val="00767652"/>
    <w:rsid w:val="00784851"/>
    <w:rsid w:val="0079409C"/>
    <w:rsid w:val="007A5803"/>
    <w:rsid w:val="007A5A1C"/>
    <w:rsid w:val="007B7C19"/>
    <w:rsid w:val="007C2A0D"/>
    <w:rsid w:val="007C30E7"/>
    <w:rsid w:val="007C442B"/>
    <w:rsid w:val="007C6C89"/>
    <w:rsid w:val="007D1F32"/>
    <w:rsid w:val="007D485A"/>
    <w:rsid w:val="007E3CB2"/>
    <w:rsid w:val="007E5FA7"/>
    <w:rsid w:val="007F2951"/>
    <w:rsid w:val="00802AAF"/>
    <w:rsid w:val="008037A7"/>
    <w:rsid w:val="008060C2"/>
    <w:rsid w:val="008118F3"/>
    <w:rsid w:val="00814788"/>
    <w:rsid w:val="0081611A"/>
    <w:rsid w:val="00820DC3"/>
    <w:rsid w:val="00822BDB"/>
    <w:rsid w:val="00823D3D"/>
    <w:rsid w:val="008270EF"/>
    <w:rsid w:val="00841BCC"/>
    <w:rsid w:val="00843D37"/>
    <w:rsid w:val="0084444A"/>
    <w:rsid w:val="00845E73"/>
    <w:rsid w:val="00847918"/>
    <w:rsid w:val="00860215"/>
    <w:rsid w:val="00871FCF"/>
    <w:rsid w:val="00873252"/>
    <w:rsid w:val="008769AC"/>
    <w:rsid w:val="00876D17"/>
    <w:rsid w:val="0087769C"/>
    <w:rsid w:val="00882E61"/>
    <w:rsid w:val="00883154"/>
    <w:rsid w:val="0089342D"/>
    <w:rsid w:val="00893767"/>
    <w:rsid w:val="008A2751"/>
    <w:rsid w:val="008B4784"/>
    <w:rsid w:val="008C5658"/>
    <w:rsid w:val="008C6167"/>
    <w:rsid w:val="008C69D3"/>
    <w:rsid w:val="008D1590"/>
    <w:rsid w:val="008D20E1"/>
    <w:rsid w:val="008D2BDB"/>
    <w:rsid w:val="008E2508"/>
    <w:rsid w:val="008F592C"/>
    <w:rsid w:val="0090161C"/>
    <w:rsid w:val="00902C67"/>
    <w:rsid w:val="0090333B"/>
    <w:rsid w:val="00904CF2"/>
    <w:rsid w:val="00906672"/>
    <w:rsid w:val="00914D32"/>
    <w:rsid w:val="009154A9"/>
    <w:rsid w:val="009169D8"/>
    <w:rsid w:val="00924978"/>
    <w:rsid w:val="0093279A"/>
    <w:rsid w:val="00933894"/>
    <w:rsid w:val="00942EBE"/>
    <w:rsid w:val="00944978"/>
    <w:rsid w:val="0094742F"/>
    <w:rsid w:val="0096626A"/>
    <w:rsid w:val="009779B7"/>
    <w:rsid w:val="0098160F"/>
    <w:rsid w:val="00982F54"/>
    <w:rsid w:val="00985734"/>
    <w:rsid w:val="00986118"/>
    <w:rsid w:val="00997C92"/>
    <w:rsid w:val="009A3925"/>
    <w:rsid w:val="009B4C17"/>
    <w:rsid w:val="009C3D37"/>
    <w:rsid w:val="009D53F8"/>
    <w:rsid w:val="009E5826"/>
    <w:rsid w:val="009E6F7C"/>
    <w:rsid w:val="009F230D"/>
    <w:rsid w:val="00A0203C"/>
    <w:rsid w:val="00A07284"/>
    <w:rsid w:val="00A107C1"/>
    <w:rsid w:val="00A12BF6"/>
    <w:rsid w:val="00A24B96"/>
    <w:rsid w:val="00A24FB1"/>
    <w:rsid w:val="00A26ADB"/>
    <w:rsid w:val="00A34BD2"/>
    <w:rsid w:val="00A54B34"/>
    <w:rsid w:val="00A57833"/>
    <w:rsid w:val="00A612E8"/>
    <w:rsid w:val="00A6425F"/>
    <w:rsid w:val="00A66366"/>
    <w:rsid w:val="00A74932"/>
    <w:rsid w:val="00A7756C"/>
    <w:rsid w:val="00A77CEF"/>
    <w:rsid w:val="00A80D88"/>
    <w:rsid w:val="00A81104"/>
    <w:rsid w:val="00AA00BB"/>
    <w:rsid w:val="00AA132D"/>
    <w:rsid w:val="00AA20E2"/>
    <w:rsid w:val="00AA3CA0"/>
    <w:rsid w:val="00AA5A63"/>
    <w:rsid w:val="00AB1179"/>
    <w:rsid w:val="00AB61FE"/>
    <w:rsid w:val="00AC0D30"/>
    <w:rsid w:val="00AC0D96"/>
    <w:rsid w:val="00AC2C7D"/>
    <w:rsid w:val="00AC708D"/>
    <w:rsid w:val="00AD0043"/>
    <w:rsid w:val="00AD17F5"/>
    <w:rsid w:val="00AD2D09"/>
    <w:rsid w:val="00AD613C"/>
    <w:rsid w:val="00AE0B89"/>
    <w:rsid w:val="00AE5ACF"/>
    <w:rsid w:val="00AE6E7E"/>
    <w:rsid w:val="00AF48DA"/>
    <w:rsid w:val="00B10D03"/>
    <w:rsid w:val="00B20430"/>
    <w:rsid w:val="00B2076F"/>
    <w:rsid w:val="00B20CCA"/>
    <w:rsid w:val="00B225A6"/>
    <w:rsid w:val="00B25449"/>
    <w:rsid w:val="00B31A13"/>
    <w:rsid w:val="00B33492"/>
    <w:rsid w:val="00B3490E"/>
    <w:rsid w:val="00B35CBA"/>
    <w:rsid w:val="00B51A96"/>
    <w:rsid w:val="00B51D8F"/>
    <w:rsid w:val="00B617AF"/>
    <w:rsid w:val="00B627A3"/>
    <w:rsid w:val="00B633AE"/>
    <w:rsid w:val="00B650D8"/>
    <w:rsid w:val="00B659AC"/>
    <w:rsid w:val="00B70E36"/>
    <w:rsid w:val="00B716CA"/>
    <w:rsid w:val="00B73DF9"/>
    <w:rsid w:val="00B7517B"/>
    <w:rsid w:val="00B765D3"/>
    <w:rsid w:val="00B7741E"/>
    <w:rsid w:val="00B77B27"/>
    <w:rsid w:val="00B80742"/>
    <w:rsid w:val="00B81377"/>
    <w:rsid w:val="00B81410"/>
    <w:rsid w:val="00B83519"/>
    <w:rsid w:val="00B91840"/>
    <w:rsid w:val="00B93DC6"/>
    <w:rsid w:val="00BA350F"/>
    <w:rsid w:val="00BA57C6"/>
    <w:rsid w:val="00BB22B0"/>
    <w:rsid w:val="00BB3CDF"/>
    <w:rsid w:val="00BC49CB"/>
    <w:rsid w:val="00BC5F17"/>
    <w:rsid w:val="00BD4DF7"/>
    <w:rsid w:val="00BE08BE"/>
    <w:rsid w:val="00BE74CB"/>
    <w:rsid w:val="00C01EB6"/>
    <w:rsid w:val="00C03F4D"/>
    <w:rsid w:val="00C07A13"/>
    <w:rsid w:val="00C10DF7"/>
    <w:rsid w:val="00C128AA"/>
    <w:rsid w:val="00C16E59"/>
    <w:rsid w:val="00C23BFE"/>
    <w:rsid w:val="00C23C44"/>
    <w:rsid w:val="00C33B1D"/>
    <w:rsid w:val="00C3481F"/>
    <w:rsid w:val="00C416A3"/>
    <w:rsid w:val="00C52714"/>
    <w:rsid w:val="00C5628B"/>
    <w:rsid w:val="00C57AED"/>
    <w:rsid w:val="00C6386C"/>
    <w:rsid w:val="00C7069F"/>
    <w:rsid w:val="00C71332"/>
    <w:rsid w:val="00C74081"/>
    <w:rsid w:val="00C74FFC"/>
    <w:rsid w:val="00C75AAA"/>
    <w:rsid w:val="00C84CAD"/>
    <w:rsid w:val="00C86BF8"/>
    <w:rsid w:val="00C9097D"/>
    <w:rsid w:val="00C90D4B"/>
    <w:rsid w:val="00C9284B"/>
    <w:rsid w:val="00C93F51"/>
    <w:rsid w:val="00C944F4"/>
    <w:rsid w:val="00C97BF6"/>
    <w:rsid w:val="00CA16B0"/>
    <w:rsid w:val="00CA3983"/>
    <w:rsid w:val="00CB0345"/>
    <w:rsid w:val="00CB23DF"/>
    <w:rsid w:val="00CB4F41"/>
    <w:rsid w:val="00CC1C06"/>
    <w:rsid w:val="00CC2CBC"/>
    <w:rsid w:val="00CD14E3"/>
    <w:rsid w:val="00CE4BF6"/>
    <w:rsid w:val="00CE5BF7"/>
    <w:rsid w:val="00CE5E83"/>
    <w:rsid w:val="00CE673D"/>
    <w:rsid w:val="00CF32A1"/>
    <w:rsid w:val="00D02256"/>
    <w:rsid w:val="00D03B68"/>
    <w:rsid w:val="00D06174"/>
    <w:rsid w:val="00D074EB"/>
    <w:rsid w:val="00D10DCD"/>
    <w:rsid w:val="00D16908"/>
    <w:rsid w:val="00D30847"/>
    <w:rsid w:val="00D32FC0"/>
    <w:rsid w:val="00D33D57"/>
    <w:rsid w:val="00D3408E"/>
    <w:rsid w:val="00D3799B"/>
    <w:rsid w:val="00D40ED0"/>
    <w:rsid w:val="00D44EB2"/>
    <w:rsid w:val="00D45204"/>
    <w:rsid w:val="00D45603"/>
    <w:rsid w:val="00D50071"/>
    <w:rsid w:val="00D54687"/>
    <w:rsid w:val="00D66AE9"/>
    <w:rsid w:val="00D72053"/>
    <w:rsid w:val="00D75120"/>
    <w:rsid w:val="00D970AF"/>
    <w:rsid w:val="00DA17FA"/>
    <w:rsid w:val="00DA3667"/>
    <w:rsid w:val="00DA4D17"/>
    <w:rsid w:val="00DA546E"/>
    <w:rsid w:val="00DC0103"/>
    <w:rsid w:val="00DC03C9"/>
    <w:rsid w:val="00DC6EEA"/>
    <w:rsid w:val="00DD0866"/>
    <w:rsid w:val="00DF1400"/>
    <w:rsid w:val="00DF3BF5"/>
    <w:rsid w:val="00E0095D"/>
    <w:rsid w:val="00E119FE"/>
    <w:rsid w:val="00E13AC0"/>
    <w:rsid w:val="00E13AC9"/>
    <w:rsid w:val="00E155FE"/>
    <w:rsid w:val="00E16619"/>
    <w:rsid w:val="00E17E64"/>
    <w:rsid w:val="00E20E71"/>
    <w:rsid w:val="00E4344F"/>
    <w:rsid w:val="00E4530D"/>
    <w:rsid w:val="00E4673C"/>
    <w:rsid w:val="00E5300A"/>
    <w:rsid w:val="00E54885"/>
    <w:rsid w:val="00E61E3A"/>
    <w:rsid w:val="00E64423"/>
    <w:rsid w:val="00E65C8D"/>
    <w:rsid w:val="00E66C79"/>
    <w:rsid w:val="00E708B5"/>
    <w:rsid w:val="00E70F74"/>
    <w:rsid w:val="00E71B4F"/>
    <w:rsid w:val="00E72997"/>
    <w:rsid w:val="00E76B03"/>
    <w:rsid w:val="00E87268"/>
    <w:rsid w:val="00E87317"/>
    <w:rsid w:val="00E91E68"/>
    <w:rsid w:val="00E93235"/>
    <w:rsid w:val="00E933D2"/>
    <w:rsid w:val="00EA2A78"/>
    <w:rsid w:val="00EA51A0"/>
    <w:rsid w:val="00EB32D3"/>
    <w:rsid w:val="00EB732D"/>
    <w:rsid w:val="00EC05D8"/>
    <w:rsid w:val="00EC085B"/>
    <w:rsid w:val="00EC22A6"/>
    <w:rsid w:val="00ED7FAB"/>
    <w:rsid w:val="00EE70C6"/>
    <w:rsid w:val="00EF5EDF"/>
    <w:rsid w:val="00EF77CD"/>
    <w:rsid w:val="00F12E51"/>
    <w:rsid w:val="00F25CF0"/>
    <w:rsid w:val="00F267A9"/>
    <w:rsid w:val="00F30082"/>
    <w:rsid w:val="00F3284F"/>
    <w:rsid w:val="00F33C7B"/>
    <w:rsid w:val="00F37B5C"/>
    <w:rsid w:val="00F50B9E"/>
    <w:rsid w:val="00F526D3"/>
    <w:rsid w:val="00F6269E"/>
    <w:rsid w:val="00F64DA0"/>
    <w:rsid w:val="00F70D05"/>
    <w:rsid w:val="00F7268B"/>
    <w:rsid w:val="00F739DB"/>
    <w:rsid w:val="00F742AB"/>
    <w:rsid w:val="00F76F61"/>
    <w:rsid w:val="00F803C9"/>
    <w:rsid w:val="00F820B6"/>
    <w:rsid w:val="00F871F6"/>
    <w:rsid w:val="00F87A20"/>
    <w:rsid w:val="00F95FF0"/>
    <w:rsid w:val="00F96E76"/>
    <w:rsid w:val="00FA007E"/>
    <w:rsid w:val="00FA6A68"/>
    <w:rsid w:val="00FB1996"/>
    <w:rsid w:val="00FB572A"/>
    <w:rsid w:val="00FB64E3"/>
    <w:rsid w:val="00FB65E9"/>
    <w:rsid w:val="00FC0FA6"/>
    <w:rsid w:val="00FC540C"/>
    <w:rsid w:val="00FD1571"/>
    <w:rsid w:val="00FD2ED4"/>
    <w:rsid w:val="00FE344C"/>
    <w:rsid w:val="00FE792F"/>
    <w:rsid w:val="00FF6E89"/>
    <w:rsid w:val="00FF75FF"/>
    <w:rsid w:val="0BE58E4E"/>
    <w:rsid w:val="3B3F2A0B"/>
    <w:rsid w:val="3CEB66BB"/>
    <w:rsid w:val="73F5F911"/>
    <w:rsid w:val="73FF40A4"/>
    <w:rsid w:val="7FB95E55"/>
    <w:rsid w:val="7FFE32C2"/>
    <w:rsid w:val="CCFECC2D"/>
    <w:rsid w:val="EFE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Verdana" w:hAnsi="Verdana" w:eastAsia="Times New Roman" w:cs="Times New Roman"/>
      <w:sz w:val="22"/>
      <w:szCs w:val="24"/>
      <w:lang w:val="en-GB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napToGrid w:val="0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bCs/>
      <w:sz w:val="28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u w:val="single"/>
      <w:lang w:val="en-US"/>
    </w:rPr>
  </w:style>
  <w:style w:type="paragraph" w:styleId="10">
    <w:name w:val="heading 9"/>
    <w:basedOn w:val="1"/>
    <w:next w:val="1"/>
    <w:qFormat/>
    <w:uiPriority w:val="0"/>
    <w:pPr>
      <w:keepNext/>
      <w:ind w:left="4820"/>
      <w:outlineLvl w:val="8"/>
    </w:pPr>
    <w:rPr>
      <w:u w:val="single"/>
    </w:rPr>
  </w:style>
  <w:style w:type="character" w:default="1" w:styleId="33">
    <w:name w:val="Default Paragraph Font"/>
    <w:semiHidden/>
    <w:unhideWhenUsed/>
    <w:uiPriority w:val="1"/>
  </w:style>
  <w:style w:type="table" w:default="1" w:styleId="4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56"/>
    <w:uiPriority w:val="0"/>
    <w:pPr>
      <w:spacing w:after="0"/>
    </w:pPr>
    <w:rPr>
      <w:rFonts w:ascii="Tahoma" w:hAnsi="Tahoma"/>
      <w:sz w:val="16"/>
      <w:szCs w:val="16"/>
    </w:rPr>
  </w:style>
  <w:style w:type="paragraph" w:styleId="12">
    <w:name w:val="Body Text"/>
    <w:basedOn w:val="1"/>
    <w:uiPriority w:val="0"/>
    <w:pPr>
      <w:spacing w:after="0"/>
      <w:jc w:val="both"/>
    </w:pPr>
    <w:rPr>
      <w:sz w:val="24"/>
    </w:rPr>
  </w:style>
  <w:style w:type="paragraph" w:styleId="13">
    <w:name w:val="Body Text 2"/>
    <w:basedOn w:val="1"/>
    <w:uiPriority w:val="0"/>
    <w:rPr>
      <w:sz w:val="24"/>
    </w:rPr>
  </w:style>
  <w:style w:type="paragraph" w:styleId="14">
    <w:name w:val="Body Text 3"/>
    <w:basedOn w:val="1"/>
    <w:uiPriority w:val="0"/>
    <w:pPr>
      <w:jc w:val="both"/>
    </w:pPr>
    <w:rPr>
      <w:lang w:val="en-US"/>
    </w:rPr>
  </w:style>
  <w:style w:type="paragraph" w:styleId="15">
    <w:name w:val="Body Text Indent"/>
    <w:basedOn w:val="1"/>
    <w:uiPriority w:val="0"/>
    <w:pPr>
      <w:ind w:left="708"/>
    </w:pPr>
    <w:rPr>
      <w:sz w:val="24"/>
    </w:rPr>
  </w:style>
  <w:style w:type="paragraph" w:styleId="16">
    <w:name w:val="Body Text Indent 2"/>
    <w:basedOn w:val="1"/>
    <w:uiPriority w:val="0"/>
    <w:pPr>
      <w:ind w:left="708"/>
    </w:pPr>
  </w:style>
  <w:style w:type="paragraph" w:styleId="17">
    <w:name w:val="annotation text"/>
    <w:basedOn w:val="1"/>
    <w:link w:val="60"/>
    <w:semiHidden/>
    <w:unhideWhenUsed/>
    <w:uiPriority w:val="0"/>
    <w:rPr>
      <w:sz w:val="20"/>
    </w:rPr>
  </w:style>
  <w:style w:type="paragraph" w:styleId="18">
    <w:name w:val="annotation subject"/>
    <w:basedOn w:val="17"/>
    <w:next w:val="17"/>
    <w:link w:val="61"/>
    <w:semiHidden/>
    <w:unhideWhenUsed/>
    <w:uiPriority w:val="0"/>
    <w:rPr>
      <w:b/>
      <w:bCs/>
    </w:rPr>
  </w:style>
  <w:style w:type="paragraph" w:styleId="19">
    <w:name w:val="footer"/>
    <w:basedOn w:val="1"/>
    <w:link w:val="62"/>
    <w:uiPriority w:val="99"/>
    <w:pPr>
      <w:tabs>
        <w:tab w:val="center" w:pos="4252"/>
        <w:tab w:val="right" w:pos="8504"/>
      </w:tabs>
    </w:pPr>
  </w:style>
  <w:style w:type="paragraph" w:styleId="20">
    <w:name w:val="footnote text"/>
    <w:basedOn w:val="1"/>
    <w:semiHidden/>
    <w:uiPriority w:val="0"/>
    <w:rPr>
      <w:sz w:val="16"/>
    </w:rPr>
  </w:style>
  <w:style w:type="paragraph" w:styleId="21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22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lang w:val="es-CL" w:eastAsia="es-CL"/>
    </w:rPr>
  </w:style>
  <w:style w:type="paragraph" w:styleId="23">
    <w:name w:val="Title"/>
    <w:basedOn w:val="1"/>
    <w:qFormat/>
    <w:uiPriority w:val="0"/>
    <w:pPr>
      <w:jc w:val="center"/>
    </w:pPr>
    <w:rPr>
      <w:b/>
      <w:bCs/>
      <w:sz w:val="28"/>
      <w:lang w:val="es-MX"/>
    </w:rPr>
  </w:style>
  <w:style w:type="paragraph" w:styleId="24">
    <w:name w:val="toc 1"/>
    <w:basedOn w:val="1"/>
    <w:next w:val="1"/>
    <w:semiHidden/>
    <w:uiPriority w:val="0"/>
    <w:pPr>
      <w:spacing w:before="120"/>
    </w:pPr>
    <w:rPr>
      <w:rFonts w:ascii="Times New Roman" w:hAnsi="Times New Roman"/>
      <w:b/>
      <w:bCs/>
      <w:caps/>
    </w:rPr>
  </w:style>
  <w:style w:type="paragraph" w:styleId="25">
    <w:name w:val="toc 2"/>
    <w:basedOn w:val="1"/>
    <w:next w:val="1"/>
    <w:semiHidden/>
    <w:uiPriority w:val="0"/>
    <w:pPr>
      <w:spacing w:after="0"/>
      <w:ind w:left="220"/>
    </w:pPr>
    <w:rPr>
      <w:rFonts w:ascii="Times New Roman" w:hAnsi="Times New Roman"/>
      <w:smallCaps/>
    </w:rPr>
  </w:style>
  <w:style w:type="paragraph" w:styleId="26">
    <w:name w:val="toc 3"/>
    <w:basedOn w:val="1"/>
    <w:next w:val="1"/>
    <w:semiHidden/>
    <w:qFormat/>
    <w:uiPriority w:val="0"/>
    <w:pPr>
      <w:spacing w:after="0"/>
      <w:ind w:left="440"/>
    </w:pPr>
    <w:rPr>
      <w:rFonts w:ascii="Times New Roman" w:hAnsi="Times New Roman"/>
      <w:i/>
      <w:iCs/>
    </w:rPr>
  </w:style>
  <w:style w:type="paragraph" w:styleId="27">
    <w:name w:val="toc 4"/>
    <w:basedOn w:val="1"/>
    <w:next w:val="1"/>
    <w:semiHidden/>
    <w:uiPriority w:val="0"/>
    <w:pPr>
      <w:spacing w:after="0"/>
      <w:ind w:left="660"/>
    </w:pPr>
    <w:rPr>
      <w:rFonts w:ascii="Times New Roman" w:hAnsi="Times New Roman"/>
      <w:szCs w:val="21"/>
    </w:rPr>
  </w:style>
  <w:style w:type="paragraph" w:styleId="28">
    <w:name w:val="toc 5"/>
    <w:basedOn w:val="1"/>
    <w:next w:val="1"/>
    <w:semiHidden/>
    <w:uiPriority w:val="0"/>
    <w:pPr>
      <w:spacing w:after="0"/>
      <w:ind w:left="880"/>
    </w:pPr>
    <w:rPr>
      <w:rFonts w:ascii="Times New Roman" w:hAnsi="Times New Roman"/>
      <w:szCs w:val="21"/>
    </w:rPr>
  </w:style>
  <w:style w:type="paragraph" w:styleId="29">
    <w:name w:val="toc 6"/>
    <w:basedOn w:val="1"/>
    <w:next w:val="1"/>
    <w:semiHidden/>
    <w:uiPriority w:val="0"/>
    <w:pPr>
      <w:spacing w:after="0"/>
      <w:ind w:left="1100"/>
    </w:pPr>
    <w:rPr>
      <w:rFonts w:ascii="Times New Roman" w:hAnsi="Times New Roman"/>
      <w:szCs w:val="21"/>
    </w:rPr>
  </w:style>
  <w:style w:type="paragraph" w:styleId="30">
    <w:name w:val="toc 7"/>
    <w:basedOn w:val="1"/>
    <w:next w:val="1"/>
    <w:semiHidden/>
    <w:uiPriority w:val="0"/>
    <w:pPr>
      <w:spacing w:after="0"/>
      <w:ind w:left="1320"/>
    </w:pPr>
    <w:rPr>
      <w:rFonts w:ascii="Times New Roman" w:hAnsi="Times New Roman"/>
      <w:szCs w:val="21"/>
    </w:rPr>
  </w:style>
  <w:style w:type="paragraph" w:styleId="31">
    <w:name w:val="toc 8"/>
    <w:basedOn w:val="1"/>
    <w:next w:val="1"/>
    <w:semiHidden/>
    <w:uiPriority w:val="0"/>
    <w:pPr>
      <w:spacing w:after="0"/>
      <w:ind w:left="1540"/>
    </w:pPr>
    <w:rPr>
      <w:rFonts w:ascii="Times New Roman" w:hAnsi="Times New Roman"/>
      <w:szCs w:val="21"/>
    </w:rPr>
  </w:style>
  <w:style w:type="paragraph" w:styleId="32">
    <w:name w:val="toc 9"/>
    <w:basedOn w:val="1"/>
    <w:next w:val="1"/>
    <w:semiHidden/>
    <w:uiPriority w:val="0"/>
    <w:pPr>
      <w:spacing w:after="0"/>
      <w:ind w:left="1760"/>
    </w:pPr>
    <w:rPr>
      <w:rFonts w:ascii="Times New Roman" w:hAnsi="Times New Roman"/>
      <w:szCs w:val="21"/>
    </w:rPr>
  </w:style>
  <w:style w:type="character" w:styleId="34">
    <w:name w:val="annotation reference"/>
    <w:semiHidden/>
    <w:unhideWhenUsed/>
    <w:uiPriority w:val="0"/>
    <w:rPr>
      <w:sz w:val="16"/>
      <w:szCs w:val="16"/>
    </w:rPr>
  </w:style>
  <w:style w:type="character" w:styleId="35">
    <w:name w:val="Emphasis"/>
    <w:qFormat/>
    <w:uiPriority w:val="0"/>
    <w:rPr>
      <w:i/>
    </w:rPr>
  </w:style>
  <w:style w:type="character" w:styleId="36">
    <w:name w:val="FollowedHyperlink"/>
    <w:uiPriority w:val="0"/>
    <w:rPr>
      <w:color w:val="800080"/>
      <w:u w:val="single"/>
    </w:rPr>
  </w:style>
  <w:style w:type="character" w:styleId="37">
    <w:name w:val="footnote reference"/>
    <w:semiHidden/>
    <w:uiPriority w:val="0"/>
    <w:rPr>
      <w:vertAlign w:val="superscript"/>
    </w:rPr>
  </w:style>
  <w:style w:type="character" w:styleId="38">
    <w:name w:val="Hyperlink"/>
    <w:uiPriority w:val="99"/>
    <w:rPr>
      <w:color w:val="0000FF"/>
      <w:u w:val="single"/>
    </w:rPr>
  </w:style>
  <w:style w:type="character" w:styleId="39">
    <w:name w:val="page number"/>
    <w:basedOn w:val="33"/>
    <w:uiPriority w:val="0"/>
  </w:style>
  <w:style w:type="character" w:styleId="40">
    <w:name w:val="Strong"/>
    <w:qFormat/>
    <w:uiPriority w:val="0"/>
    <w:rPr>
      <w:b/>
      <w:bCs/>
    </w:rPr>
  </w:style>
  <w:style w:type="table" w:styleId="42">
    <w:name w:val="Table Grid"/>
    <w:basedOn w:val="41"/>
    <w:uiPriority w:val="0"/>
    <w:pPr>
      <w:spacing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43">
    <w:name w:val="Capítulo N2"/>
    <w:basedOn w:val="3"/>
    <w:next w:val="1"/>
    <w:uiPriority w:val="0"/>
    <w:pPr>
      <w:numPr>
        <w:ilvl w:val="1"/>
        <w:numId w:val="1"/>
      </w:numPr>
      <w:spacing w:after="180"/>
      <w:jc w:val="both"/>
    </w:pPr>
    <w:rPr>
      <w:rFonts w:ascii="Verdana" w:hAnsi="Verdana"/>
      <w:i w:val="0"/>
      <w:smallCaps/>
      <w:lang w:val="es-MX"/>
    </w:rPr>
  </w:style>
  <w:style w:type="paragraph" w:customStyle="1" w:styleId="44">
    <w:name w:val="Capítulo N3"/>
    <w:basedOn w:val="4"/>
    <w:next w:val="1"/>
    <w:uiPriority w:val="0"/>
    <w:pPr>
      <w:numPr>
        <w:ilvl w:val="2"/>
        <w:numId w:val="1"/>
      </w:numPr>
      <w:spacing w:after="180"/>
      <w:jc w:val="both"/>
    </w:pPr>
    <w:rPr>
      <w:rFonts w:ascii="Verdana" w:hAnsi="Verdana"/>
      <w:b/>
      <w:sz w:val="22"/>
      <w:lang w:val="es-MX"/>
    </w:rPr>
  </w:style>
  <w:style w:type="paragraph" w:customStyle="1" w:styleId="45">
    <w:name w:val="Capítulo N4"/>
    <w:basedOn w:val="5"/>
    <w:next w:val="1"/>
    <w:uiPriority w:val="0"/>
    <w:pPr>
      <w:numPr>
        <w:ilvl w:val="3"/>
        <w:numId w:val="1"/>
      </w:numPr>
      <w:tabs>
        <w:tab w:val="left" w:pos="1418"/>
      </w:tabs>
      <w:spacing w:after="180"/>
      <w:jc w:val="both"/>
    </w:pPr>
    <w:rPr>
      <w:rFonts w:ascii="Verdana" w:hAnsi="Verdana"/>
      <w:b w:val="0"/>
      <w:lang w:val="es-MX"/>
    </w:rPr>
  </w:style>
  <w:style w:type="paragraph" w:customStyle="1" w:styleId="46">
    <w:name w:val="Capítulo N5"/>
    <w:basedOn w:val="45"/>
    <w:next w:val="1"/>
    <w:uiPriority w:val="0"/>
    <w:pPr>
      <w:numPr>
        <w:ilvl w:val="4"/>
      </w:numPr>
      <w:tabs>
        <w:tab w:val="clear" w:pos="1418"/>
      </w:tabs>
    </w:pPr>
    <w:rPr>
      <w:sz w:val="22"/>
      <w:u w:val="single"/>
    </w:rPr>
  </w:style>
  <w:style w:type="paragraph" w:customStyle="1" w:styleId="47">
    <w:name w:val="Capítulo N1"/>
    <w:basedOn w:val="2"/>
    <w:next w:val="1"/>
    <w:uiPriority w:val="0"/>
    <w:pPr>
      <w:pageBreakBefore/>
      <w:numPr>
        <w:ilvl w:val="0"/>
        <w:numId w:val="1"/>
      </w:numPr>
      <w:tabs>
        <w:tab w:val="left" w:pos="1418"/>
      </w:tabs>
      <w:spacing w:before="0" w:after="180"/>
      <w:jc w:val="both"/>
    </w:pPr>
    <w:rPr>
      <w:rFonts w:ascii="Verdana" w:hAnsi="Verdana"/>
      <w:smallCaps/>
      <w:kern w:val="0"/>
      <w:lang w:val="es-MX"/>
    </w:rPr>
  </w:style>
  <w:style w:type="paragraph" w:customStyle="1" w:styleId="48">
    <w:name w:val="H1"/>
    <w:basedOn w:val="1"/>
    <w:next w:val="1"/>
    <w:uiPriority w:val="0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49">
    <w:name w:val="H4"/>
    <w:basedOn w:val="1"/>
    <w:next w:val="1"/>
    <w:uiPriority w:val="0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</w:rPr>
  </w:style>
  <w:style w:type="character" w:customStyle="1" w:styleId="50">
    <w:name w:val="Typewriter"/>
    <w:uiPriority w:val="0"/>
    <w:rPr>
      <w:rFonts w:ascii="Courier New" w:hAnsi="Courier New"/>
      <w:sz w:val="20"/>
    </w:rPr>
  </w:style>
  <w:style w:type="paragraph" w:customStyle="1" w:styleId="51">
    <w:name w:val="H5"/>
    <w:basedOn w:val="1"/>
    <w:next w:val="1"/>
    <w:uiPriority w:val="0"/>
    <w:pPr>
      <w:keepNext/>
      <w:spacing w:before="100" w:after="100"/>
      <w:outlineLvl w:val="5"/>
    </w:pPr>
    <w:rPr>
      <w:rFonts w:ascii="Times New Roman" w:hAnsi="Times New Roman"/>
      <w:b/>
      <w:snapToGrid w:val="0"/>
      <w:sz w:val="20"/>
    </w:rPr>
  </w:style>
  <w:style w:type="paragraph" w:customStyle="1" w:styleId="52">
    <w:name w:val="Blockquote"/>
    <w:basedOn w:val="1"/>
    <w:uiPriority w:val="0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paragraph" w:customStyle="1" w:styleId="53">
    <w:name w:val="Preformatted"/>
    <w:basedOn w:val="1"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</w:rPr>
  </w:style>
  <w:style w:type="character" w:customStyle="1" w:styleId="54">
    <w:name w:val="CITE"/>
    <w:uiPriority w:val="0"/>
    <w:rPr>
      <w:i/>
    </w:rPr>
  </w:style>
  <w:style w:type="paragraph" w:customStyle="1" w:styleId="55">
    <w:name w:val="Texto simple"/>
    <w:basedOn w:val="12"/>
    <w:uiPriority w:val="0"/>
    <w:rPr>
      <w:rFonts w:ascii="Arial" w:hAnsi="Arial"/>
      <w:lang w:val="es-ES"/>
    </w:rPr>
  </w:style>
  <w:style w:type="character" w:customStyle="1" w:styleId="56">
    <w:name w:val="Texto de globo Car"/>
    <w:link w:val="11"/>
    <w:uiPriority w:val="0"/>
    <w:rPr>
      <w:rFonts w:ascii="Tahoma" w:hAnsi="Tahoma" w:cs="Tahoma"/>
      <w:sz w:val="16"/>
      <w:szCs w:val="16"/>
    </w:rPr>
  </w:style>
  <w:style w:type="character" w:customStyle="1" w:styleId="57">
    <w:name w:val="long_text"/>
    <w:basedOn w:val="33"/>
    <w:uiPriority w:val="0"/>
  </w:style>
  <w:style w:type="character" w:customStyle="1" w:styleId="58">
    <w:name w:val="hps"/>
    <w:basedOn w:val="33"/>
    <w:uiPriority w:val="0"/>
  </w:style>
  <w:style w:type="paragraph" w:customStyle="1" w:styleId="59">
    <w:name w:val="Lista vistosa - Énfasis 1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Cs w:val="22"/>
      <w:lang w:val="fr-CH" w:eastAsia="en-US"/>
    </w:rPr>
  </w:style>
  <w:style w:type="character" w:customStyle="1" w:styleId="60">
    <w:name w:val="Texto comentario Car"/>
    <w:link w:val="17"/>
    <w:semiHidden/>
    <w:uiPriority w:val="0"/>
    <w:rPr>
      <w:rFonts w:ascii="Verdana" w:hAnsi="Verdana"/>
      <w:lang w:val="en-GB" w:eastAsia="es-ES"/>
    </w:rPr>
  </w:style>
  <w:style w:type="character" w:customStyle="1" w:styleId="61">
    <w:name w:val="Asunto del comentario Car"/>
    <w:link w:val="18"/>
    <w:semiHidden/>
    <w:uiPriority w:val="0"/>
    <w:rPr>
      <w:rFonts w:ascii="Verdana" w:hAnsi="Verdana"/>
      <w:b/>
      <w:bCs/>
      <w:lang w:val="en-GB" w:eastAsia="es-ES"/>
    </w:rPr>
  </w:style>
  <w:style w:type="character" w:customStyle="1" w:styleId="62">
    <w:name w:val="Pie de página Car"/>
    <w:link w:val="19"/>
    <w:uiPriority w:val="99"/>
    <w:rPr>
      <w:rFonts w:ascii="Verdana" w:hAnsi="Verdana"/>
      <w:sz w:val="22"/>
      <w:lang w:val="en-GB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leiva/C:\Documents%20and%20Settings\jo\Mis%20documentos\fbio_doc-04108\Fundacion_Biociencia\formatos\templates\format_carta-231107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gleiva/Documents/BIOCIENCIA/SOD/GDH%2520temp%2520and%2520pH%2520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/home/gleiva/Documents/BIOCIENCIA/SOD/GDH%2520temp%2520and%2520pH%2520dat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/home/gleiva/Documents/BIOCIENCIA/SOD/GDH%2520temp%2520and%2520pH%25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784925807719"/>
          <c:y val="0.116364389688528"/>
          <c:w val="0.790609549953045"/>
          <c:h val="0.64268482064741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'[GDH temp and pH data.xlsx]Hoja2'!$D$4</c:f>
              <c:strCache>
                <c:ptCount val="1"/>
                <c:pt idx="0">
                  <c:v>Volumetric Activity (U/ml)</c:v>
                </c:pt>
              </c:strCache>
            </c:strRef>
          </c:tx>
          <c:spPr>
            <a:ln w="15875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circle"/>
            <c:size val="4"/>
            <c:spPr>
              <a:solidFill>
                <a:schemeClr val="tx1"/>
              </a:solidFill>
              <a:ln w="952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errBars>
            <c:errDir val="y"/>
            <c:errBarType val="both"/>
            <c:errValType val="cust"/>
            <c:noEndCap val="0"/>
            <c:plus>
              <c:numRef>
                <c:f>'[GDH temp and pH data.xlsx]Hoja2'!$G$17:$G$22</c:f>
                <c:numCache>
                  <c:formatCode>General</c:formatCode>
                  <c:ptCount val="6"/>
                  <c:pt idx="0">
                    <c:v>0.136361253079598</c:v>
                  </c:pt>
                  <c:pt idx="1">
                    <c:v>3.17117631613139</c:v>
                  </c:pt>
                  <c:pt idx="2">
                    <c:v>5.49930272964813</c:v>
                  </c:pt>
                  <c:pt idx="3">
                    <c:v>4.41158941566918</c:v>
                  </c:pt>
                  <c:pt idx="4">
                    <c:v>0.209537729366361</c:v>
                  </c:pt>
                  <c:pt idx="5">
                    <c:v>0.182339106176119</c:v>
                  </c:pt>
                </c:numCache>
              </c:numRef>
            </c:plus>
            <c:minus>
              <c:numRef>
                <c:f>'[GDH temp and pH data.xlsx]Hoja2'!$G$17:$G$22</c:f>
                <c:numCache>
                  <c:formatCode>General</c:formatCode>
                  <c:ptCount val="6"/>
                  <c:pt idx="0">
                    <c:v>0.136361253079598</c:v>
                  </c:pt>
                  <c:pt idx="1">
                    <c:v>3.17117631613139</c:v>
                  </c:pt>
                  <c:pt idx="2">
                    <c:v>5.49930272964813</c:v>
                  </c:pt>
                  <c:pt idx="3">
                    <c:v>4.41158941566918</c:v>
                  </c:pt>
                  <c:pt idx="4">
                    <c:v>0.209537729366361</c:v>
                  </c:pt>
                  <c:pt idx="5">
                    <c:v>0.182339106176119</c:v>
                  </c:pt>
                </c:numCache>
              </c:numRef>
            </c:minus>
          </c:errBars>
          <c:xVal>
            <c:numRef>
              <c:f>'[GDH temp and pH data.xlsx]Hoja2'!$C$5:$C$12</c:f>
              <c:numCache>
                <c:formatCode>0.0</c:formatCod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10</c:v>
                </c:pt>
                <c:pt idx="7">
                  <c:v>11</c:v>
                </c:pt>
              </c:numCache>
            </c:numRef>
          </c:xVal>
          <c:yVal>
            <c:numRef>
              <c:f>'[GDH temp and pH data.xlsx]Hoja2'!$G$5:$G$10</c:f>
              <c:numCache>
                <c:formatCode>0.000</c:formatCode>
                <c:ptCount val="6"/>
                <c:pt idx="0">
                  <c:v>28.0146595856371</c:v>
                </c:pt>
                <c:pt idx="1">
                  <c:v>54.4461283943723</c:v>
                </c:pt>
                <c:pt idx="2">
                  <c:v>99.9601700347407</c:v>
                </c:pt>
                <c:pt idx="3">
                  <c:v>100</c:v>
                </c:pt>
                <c:pt idx="4">
                  <c:v>89.1042521277662</c:v>
                </c:pt>
                <c:pt idx="5">
                  <c:v>54.5735721192992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43698152"/>
        <c:axId val="-2143963144"/>
      </c:scatterChart>
      <c:valAx>
        <c:axId val="-2143698152"/>
        <c:scaling>
          <c:orientation val="minMax"/>
          <c:max val="11"/>
          <c:min val="4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pH</a:t>
                </a:r>
                <a:endParaRPr lang="es-MX"/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2143963144"/>
        <c:crosses val="autoZero"/>
        <c:crossBetween val="midCat"/>
        <c:majorUnit val="1"/>
      </c:valAx>
      <c:valAx>
        <c:axId val="-2143963144"/>
        <c:scaling>
          <c:orientation val="minMax"/>
          <c:max val="120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es-MX"/>
                  <a:t>Relative Activity </a:t>
                </a:r>
                <a:r>
                  <a:rPr lang="es-MX" baseline="0"/>
                  <a:t>(%)</a:t>
                </a:r>
                <a:endParaRPr lang="es-MX"/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spPr>
          <a:solidFill>
            <a:schemeClr val="lt1"/>
          </a:solidFill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214369815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196850393701"/>
          <c:y val="0.0375116652085156"/>
          <c:w val="0.803344925634296"/>
          <c:h val="0.734448089822105"/>
        </c:manualLayout>
      </c:layout>
      <c:scatterChart>
        <c:scatterStyle val="smoothMarker"/>
        <c:varyColors val="0"/>
        <c:ser>
          <c:idx val="0"/>
          <c:order val="0"/>
          <c:spPr>
            <a:ln w="15875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circle"/>
            <c:size val="4"/>
            <c:spPr>
              <a:solidFill>
                <a:schemeClr val="tx1"/>
              </a:solidFill>
              <a:ln w="952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errBars>
            <c:errDir val="y"/>
            <c:errBarType val="both"/>
            <c:errValType val="cust"/>
            <c:noEndCap val="0"/>
            <c:plus>
              <c:numRef>
                <c:f>'[GDH temp and pH data.xlsx]Temperature dependance'!$G$20:$G$26</c:f>
                <c:numCache>
                  <c:formatCode>General</c:formatCode>
                  <c:ptCount val="7"/>
                  <c:pt idx="0">
                    <c:v>2.6997560017354</c:v>
                  </c:pt>
                  <c:pt idx="1">
                    <c:v>7.09398709486529</c:v>
                  </c:pt>
                  <c:pt idx="2">
                    <c:v>3.68812699074038</c:v>
                  </c:pt>
                  <c:pt idx="3">
                    <c:v>2.90125714252463</c:v>
                  </c:pt>
                  <c:pt idx="4">
                    <c:v>1.27937851035243</c:v>
                  </c:pt>
                  <c:pt idx="5">
                    <c:v>9.23417174535028</c:v>
                  </c:pt>
                  <c:pt idx="6">
                    <c:v>0.469170693345959</c:v>
                  </c:pt>
                </c:numCache>
              </c:numRef>
            </c:plus>
            <c:minus>
              <c:numRef>
                <c:f>'[GDH temp and pH data.xlsx]Temperature dependance'!$G$20:$G$26</c:f>
                <c:numCache>
                  <c:formatCode>General</c:formatCode>
                  <c:ptCount val="7"/>
                  <c:pt idx="0">
                    <c:v>2.6997560017354</c:v>
                  </c:pt>
                  <c:pt idx="1">
                    <c:v>7.09398709486529</c:v>
                  </c:pt>
                  <c:pt idx="2">
                    <c:v>3.68812699074038</c:v>
                  </c:pt>
                  <c:pt idx="3">
                    <c:v>2.90125714252463</c:v>
                  </c:pt>
                  <c:pt idx="4">
                    <c:v>1.27937851035243</c:v>
                  </c:pt>
                  <c:pt idx="5">
                    <c:v>9.23417174535028</c:v>
                  </c:pt>
                  <c:pt idx="6">
                    <c:v>0.469170693345959</c:v>
                  </c:pt>
                </c:numCache>
              </c:numRef>
            </c:minus>
          </c:errBars>
          <c:xVal>
            <c:numRef>
              <c:f>'[GDH temp and pH data.xlsx]Temperature dependance'!$C$8:$C$14</c:f>
              <c:numCache>
                <c:formatCode>0.000</c:formatCode>
                <c:ptCount val="7"/>
                <c:pt idx="0">
                  <c:v>20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</c:v>
                </c:pt>
                <c:pt idx="6">
                  <c:v>80</c:v>
                </c:pt>
              </c:numCache>
            </c:numRef>
          </c:xVal>
          <c:yVal>
            <c:numRef>
              <c:f>'[GDH temp and pH data.xlsx]Temperature dependance'!$G$8:$G$14</c:f>
              <c:numCache>
                <c:formatCode>0.000</c:formatCode>
                <c:ptCount val="7"/>
                <c:pt idx="0">
                  <c:v>33.3924938945134</c:v>
                </c:pt>
                <c:pt idx="1">
                  <c:v>68.7921249200113</c:v>
                </c:pt>
                <c:pt idx="2">
                  <c:v>85.232966267449</c:v>
                </c:pt>
                <c:pt idx="3">
                  <c:v>100</c:v>
                </c:pt>
                <c:pt idx="4">
                  <c:v>89.2744335684375</c:v>
                </c:pt>
                <c:pt idx="5">
                  <c:v>76.0728339041592</c:v>
                </c:pt>
                <c:pt idx="6">
                  <c:v>51.7892222095484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4513560"/>
        <c:axId val="-2143346760"/>
      </c:scatterChart>
      <c:valAx>
        <c:axId val="2144513560"/>
        <c:scaling>
          <c:orientation val="minMax"/>
          <c:max val="10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Temperatura</a:t>
                </a:r>
                <a:r>
                  <a:rPr lang="es-MX" baseline="0"/>
                  <a:t> (°C)</a:t>
                </a:r>
                <a:endParaRPr lang="es-MX" baseline="0"/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2143346760"/>
        <c:crosses val="autoZero"/>
        <c:crossBetween val="midCat"/>
        <c:majorUnit val="10"/>
      </c:valAx>
      <c:valAx>
        <c:axId val="-214334676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en-US"/>
                  <a:t>Relative Activity </a:t>
                </a:r>
                <a:r>
                  <a:rPr lang="en-US"/>
                  <a:t>(%)</a:t>
                </a:r>
                <a:endParaRPr lang="en-US"/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144513560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196850393701"/>
          <c:y val="0.0375116652085156"/>
          <c:w val="0.803344925634296"/>
          <c:h val="0.734448089822105"/>
        </c:manualLayout>
      </c:layout>
      <c:scatterChart>
        <c:scatterStyle val="smoothMarker"/>
        <c:varyColors val="0"/>
        <c:ser>
          <c:idx val="0"/>
          <c:order val="0"/>
          <c:spPr>
            <a:ln w="15875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circle"/>
            <c:size val="4"/>
            <c:spPr>
              <a:solidFill>
                <a:schemeClr val="tx1"/>
              </a:solidFill>
              <a:ln w="952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errBars>
            <c:errDir val="y"/>
            <c:errBarType val="both"/>
            <c:errValType val="cust"/>
            <c:noEndCap val="0"/>
            <c:plus>
              <c:numRef>
                <c:f>'[GDH temp and pH data.xlsx]Temperature dependance'!$H$8:$H$16</c:f>
                <c:numCache>
                  <c:formatCode>General</c:formatCode>
                  <c:ptCount val="9"/>
                  <c:pt idx="0">
                    <c:v>0</c:v>
                  </c:pt>
                  <c:pt idx="1">
                    <c:v>4.13019773537942</c:v>
                  </c:pt>
                  <c:pt idx="2">
                    <c:v>10.7149677243253</c:v>
                  </c:pt>
                  <c:pt idx="3">
                    <c:v>7.62842928349823</c:v>
                  </c:pt>
                  <c:pt idx="4">
                    <c:v>4.18556248708979</c:v>
                  </c:pt>
                  <c:pt idx="5">
                    <c:v>5.07542116479017</c:v>
                  </c:pt>
                  <c:pt idx="6">
                    <c:v>4.55737863250356</c:v>
                  </c:pt>
                  <c:pt idx="7">
                    <c:v>2.48936404194592</c:v>
                  </c:pt>
                  <c:pt idx="8">
                    <c:v>4.71924075814461</c:v>
                  </c:pt>
                </c:numCache>
              </c:numRef>
            </c:plus>
            <c:minus>
              <c:numRef>
                <c:f>'[GDH temp and pH data.xlsx]Temperature dependance'!$H$8:$H$16</c:f>
                <c:numCache>
                  <c:formatCode>General</c:formatCode>
                  <c:ptCount val="9"/>
                  <c:pt idx="0">
                    <c:v>0</c:v>
                  </c:pt>
                  <c:pt idx="1">
                    <c:v>4.13019773537942</c:v>
                  </c:pt>
                  <c:pt idx="2">
                    <c:v>10.7149677243253</c:v>
                  </c:pt>
                  <c:pt idx="3">
                    <c:v>7.62842928349823</c:v>
                  </c:pt>
                  <c:pt idx="4">
                    <c:v>4.18556248708979</c:v>
                  </c:pt>
                  <c:pt idx="5">
                    <c:v>5.07542116479017</c:v>
                  </c:pt>
                  <c:pt idx="6">
                    <c:v>4.55737863250356</c:v>
                  </c:pt>
                  <c:pt idx="7">
                    <c:v>2.48936404194592</c:v>
                  </c:pt>
                  <c:pt idx="8">
                    <c:v>4.71924075814461</c:v>
                  </c:pt>
                </c:numCache>
              </c:numRef>
            </c:minus>
          </c:errBars>
          <c:xVal>
            <c:numRef>
              <c:f>'[GDH temp and pH data.xlsx]Temperature dependance'!$C$8:$C$16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16</c:v>
                </c:pt>
                <c:pt idx="6">
                  <c:v>24</c:v>
                </c:pt>
                <c:pt idx="7">
                  <c:v>40</c:v>
                </c:pt>
                <c:pt idx="8">
                  <c:v>64</c:v>
                </c:pt>
              </c:numCache>
            </c:numRef>
          </c:xVal>
          <c:yVal>
            <c:numRef>
              <c:f>'[GDH temp and pH data.xlsx]Temperature dependance'!$G$8:$G$16</c:f>
              <c:numCache>
                <c:formatCode>General</c:formatCode>
                <c:ptCount val="9"/>
                <c:pt idx="0">
                  <c:v>100</c:v>
                </c:pt>
                <c:pt idx="1">
                  <c:v>98.2733333333333</c:v>
                </c:pt>
                <c:pt idx="2">
                  <c:v>88.4733333333333</c:v>
                </c:pt>
                <c:pt idx="3">
                  <c:v>86.3466666666667</c:v>
                </c:pt>
                <c:pt idx="4">
                  <c:v>73.3766666666667</c:v>
                </c:pt>
                <c:pt idx="5">
                  <c:v>76.49</c:v>
                </c:pt>
                <c:pt idx="6">
                  <c:v>66.17</c:v>
                </c:pt>
                <c:pt idx="7">
                  <c:v>66.3933333333333</c:v>
                </c:pt>
                <c:pt idx="8">
                  <c:v>46.0333333333333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4513560"/>
        <c:axId val="-2143346760"/>
      </c:scatterChart>
      <c:valAx>
        <c:axId val="2144513560"/>
        <c:scaling>
          <c:orientation val="minMax"/>
          <c:max val="70"/>
          <c:min val="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</a:t>
                </a:r>
                <a:r>
                  <a:rPr lang="en-US" altLang="es-MX"/>
                  <a:t>iempo</a:t>
                </a:r>
                <a:r>
                  <a:rPr lang="es-MX" baseline="0"/>
                  <a:t> (</a:t>
                </a:r>
                <a:r>
                  <a:rPr lang="en-US" altLang="es-MX" baseline="0"/>
                  <a:t>h</a:t>
                </a:r>
                <a:r>
                  <a:rPr lang="es-MX" baseline="0"/>
                  <a:t>)</a:t>
                </a:r>
                <a:endParaRPr lang="es-MX" baseline="0"/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2143346760"/>
        <c:crosses val="autoZero"/>
        <c:crossBetween val="midCat"/>
        <c:majorUnit val="10"/>
      </c:valAx>
      <c:valAx>
        <c:axId val="-214334676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en-US"/>
                  <a:t>Relative Activity </a:t>
                </a:r>
                <a:r>
                  <a:rPr lang="en-US"/>
                  <a:t>(%)</a:t>
                </a:r>
                <a:endParaRPr lang="en-US"/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144513560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C:\Documents%20and%20Settings\jo\Mis%20documentos\fbio_doc-04108\Fundacion_Biociencia\formatos\templates\format_carta-231107.dot</Template>
  <Company>Fundación Biociencia</Company>
  <Pages>3</Pages>
  <Words>540</Words>
  <Characters>2974</Characters>
  <Lines>24</Lines>
  <Paragraphs>7</Paragraphs>
  <TotalTime>1592</TotalTime>
  <ScaleCrop>false</ScaleCrop>
  <LinksUpToDate>false</LinksUpToDate>
  <CharactersWithSpaces>3507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2022-07-15T09:29:00Z</dcterms:created>
  <dc:creator>jo</dc:creator>
  <cp:lastModifiedBy>gleiva</cp:lastModifiedBy>
  <cp:lastPrinted>2017-01-13T10:11:00Z</cp:lastPrinted>
  <dcterms:modified xsi:type="dcterms:W3CDTF">2025-07-03T10:13:02Z</dcterms:modified>
  <dc:title>carta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